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7B" w:rsidRDefault="0024557B" w:rsidP="0024557B">
      <w:pPr>
        <w:rPr>
          <w:u w:val="single"/>
        </w:rPr>
      </w:pPr>
      <w:r w:rsidRPr="00B66B66">
        <w:rPr>
          <w:u w:val="single"/>
        </w:rPr>
        <w:t xml:space="preserve">Programma </w:t>
      </w:r>
      <w:r>
        <w:rPr>
          <w:u w:val="single"/>
        </w:rPr>
        <w:t xml:space="preserve">Scholing ‘ Wet en Regelgeving’ </w:t>
      </w:r>
    </w:p>
    <w:p w:rsidR="0024557B" w:rsidRPr="00B66B66" w:rsidRDefault="0024557B" w:rsidP="0024557B">
      <w:pPr>
        <w:rPr>
          <w:u w:val="single"/>
        </w:rPr>
      </w:pPr>
    </w:p>
    <w:tbl>
      <w:tblPr>
        <w:tblStyle w:val="Tabelraster"/>
        <w:tblW w:w="0" w:type="auto"/>
        <w:tblLook w:val="04A0" w:firstRow="1" w:lastRow="0" w:firstColumn="1" w:lastColumn="0" w:noHBand="0" w:noVBand="1"/>
      </w:tblPr>
      <w:tblGrid>
        <w:gridCol w:w="1555"/>
        <w:gridCol w:w="3969"/>
        <w:gridCol w:w="3492"/>
      </w:tblGrid>
      <w:tr w:rsidR="0024557B" w:rsidRPr="00B66B66" w:rsidTr="000E70F4">
        <w:tc>
          <w:tcPr>
            <w:tcW w:w="1555" w:type="dxa"/>
          </w:tcPr>
          <w:p w:rsidR="0024557B" w:rsidRPr="00B66B66" w:rsidRDefault="0024557B" w:rsidP="000E70F4">
            <w:pPr>
              <w:rPr>
                <w:b/>
              </w:rPr>
            </w:pPr>
            <w:r w:rsidRPr="00B66B66">
              <w:rPr>
                <w:b/>
              </w:rPr>
              <w:t>Tijd</w:t>
            </w:r>
          </w:p>
        </w:tc>
        <w:tc>
          <w:tcPr>
            <w:tcW w:w="3969" w:type="dxa"/>
          </w:tcPr>
          <w:p w:rsidR="0024557B" w:rsidRPr="00B66B66" w:rsidRDefault="0024557B" w:rsidP="000E70F4">
            <w:pPr>
              <w:rPr>
                <w:b/>
              </w:rPr>
            </w:pPr>
            <w:r w:rsidRPr="00B66B66">
              <w:rPr>
                <w:b/>
              </w:rPr>
              <w:t>Wat</w:t>
            </w:r>
          </w:p>
        </w:tc>
        <w:tc>
          <w:tcPr>
            <w:tcW w:w="3492" w:type="dxa"/>
          </w:tcPr>
          <w:p w:rsidR="0024557B" w:rsidRPr="00B66B66" w:rsidRDefault="0024557B" w:rsidP="000E70F4">
            <w:pPr>
              <w:rPr>
                <w:b/>
              </w:rPr>
            </w:pPr>
            <w:r w:rsidRPr="00B66B66">
              <w:rPr>
                <w:b/>
              </w:rPr>
              <w:t>Wie</w:t>
            </w:r>
          </w:p>
        </w:tc>
      </w:tr>
      <w:tr w:rsidR="0024557B" w:rsidRPr="00B66B66" w:rsidTr="000E70F4">
        <w:tc>
          <w:tcPr>
            <w:tcW w:w="1555" w:type="dxa"/>
          </w:tcPr>
          <w:p w:rsidR="0024557B" w:rsidRPr="00B66B66" w:rsidRDefault="0024557B" w:rsidP="000E70F4">
            <w:pPr>
              <w:spacing w:line="360" w:lineRule="auto"/>
            </w:pPr>
            <w:r>
              <w:t>18.00</w:t>
            </w:r>
            <w:r w:rsidRPr="00B66B66">
              <w:t>-18.30</w:t>
            </w:r>
          </w:p>
        </w:tc>
        <w:tc>
          <w:tcPr>
            <w:tcW w:w="3969" w:type="dxa"/>
          </w:tcPr>
          <w:p w:rsidR="0024557B" w:rsidRPr="00B66B66" w:rsidRDefault="0024557B" w:rsidP="000E70F4">
            <w:pPr>
              <w:spacing w:line="360" w:lineRule="auto"/>
            </w:pPr>
            <w:proofErr w:type="spellStart"/>
            <w:r w:rsidRPr="00B66B66">
              <w:t>Socrative</w:t>
            </w:r>
            <w:proofErr w:type="spellEnd"/>
            <w:r w:rsidRPr="00B66B66">
              <w:t xml:space="preserve"> Quiz </w:t>
            </w:r>
          </w:p>
        </w:tc>
        <w:tc>
          <w:tcPr>
            <w:tcW w:w="3492" w:type="dxa"/>
          </w:tcPr>
          <w:p w:rsidR="0024557B" w:rsidRPr="00B66B66" w:rsidRDefault="0024557B" w:rsidP="000E70F4">
            <w:pPr>
              <w:spacing w:line="360" w:lineRule="auto"/>
            </w:pPr>
            <w:r>
              <w:t>Medewerker MedTzorg-FMMU</w:t>
            </w:r>
          </w:p>
        </w:tc>
      </w:tr>
      <w:tr w:rsidR="0024557B" w:rsidRPr="00B66B66" w:rsidTr="000E70F4">
        <w:tc>
          <w:tcPr>
            <w:tcW w:w="1555" w:type="dxa"/>
          </w:tcPr>
          <w:p w:rsidR="0024557B" w:rsidRPr="00B66B66" w:rsidRDefault="0024557B" w:rsidP="000E70F4">
            <w:pPr>
              <w:spacing w:line="360" w:lineRule="auto"/>
            </w:pPr>
            <w:r w:rsidRPr="00B66B66">
              <w:t>18.30-18.35</w:t>
            </w:r>
          </w:p>
        </w:tc>
        <w:tc>
          <w:tcPr>
            <w:tcW w:w="3969" w:type="dxa"/>
          </w:tcPr>
          <w:p w:rsidR="0024557B" w:rsidRPr="00B66B66" w:rsidRDefault="0024557B" w:rsidP="000E70F4">
            <w:pPr>
              <w:spacing w:line="360" w:lineRule="auto"/>
            </w:pPr>
            <w:r w:rsidRPr="00B66B66">
              <w:t>Welkom heten en programma bespreken</w:t>
            </w:r>
          </w:p>
        </w:tc>
        <w:tc>
          <w:tcPr>
            <w:tcW w:w="3492" w:type="dxa"/>
          </w:tcPr>
          <w:p w:rsidR="0024557B" w:rsidRPr="00B66B66" w:rsidRDefault="0024557B" w:rsidP="000E70F4">
            <w:pPr>
              <w:spacing w:line="360" w:lineRule="auto"/>
            </w:pPr>
            <w:r>
              <w:t>Medewerker MedTzorg-FMMU</w:t>
            </w:r>
          </w:p>
        </w:tc>
      </w:tr>
      <w:tr w:rsidR="0024557B" w:rsidRPr="00B66B66" w:rsidTr="000E70F4">
        <w:tc>
          <w:tcPr>
            <w:tcW w:w="1555" w:type="dxa"/>
          </w:tcPr>
          <w:p w:rsidR="0024557B" w:rsidRPr="00B66B66" w:rsidRDefault="0024557B" w:rsidP="000E70F4">
            <w:pPr>
              <w:spacing w:line="360" w:lineRule="auto"/>
            </w:pPr>
            <w:r w:rsidRPr="00B66B66">
              <w:t>18.35-19.00</w:t>
            </w:r>
          </w:p>
        </w:tc>
        <w:tc>
          <w:tcPr>
            <w:tcW w:w="3969" w:type="dxa"/>
          </w:tcPr>
          <w:p w:rsidR="0024557B" w:rsidRPr="00B66B66" w:rsidRDefault="0024557B" w:rsidP="000E70F4">
            <w:pPr>
              <w:spacing w:line="360" w:lineRule="auto"/>
            </w:pPr>
            <w:r w:rsidRPr="00B66B66">
              <w:t>Theorie bespreken:</w:t>
            </w:r>
          </w:p>
          <w:p w:rsidR="0024557B" w:rsidRPr="00B66B66" w:rsidRDefault="0024557B" w:rsidP="000E70F4">
            <w:pPr>
              <w:spacing w:line="360" w:lineRule="auto"/>
            </w:pPr>
            <w:r w:rsidRPr="00B66B66">
              <w:t>- Beroepsgeheim</w:t>
            </w:r>
          </w:p>
          <w:p w:rsidR="0024557B" w:rsidRPr="00B66B66" w:rsidRDefault="0024557B" w:rsidP="000E70F4">
            <w:pPr>
              <w:spacing w:line="360" w:lineRule="auto"/>
            </w:pPr>
            <w:r w:rsidRPr="00B66B66">
              <w:t xml:space="preserve">- Wilsonbekwaamheid </w:t>
            </w:r>
          </w:p>
        </w:tc>
        <w:tc>
          <w:tcPr>
            <w:tcW w:w="3492" w:type="dxa"/>
          </w:tcPr>
          <w:p w:rsidR="0024557B" w:rsidRPr="00B66B66" w:rsidRDefault="0024557B" w:rsidP="000E70F4">
            <w:pPr>
              <w:spacing w:line="360" w:lineRule="auto"/>
            </w:pPr>
            <w:proofErr w:type="spellStart"/>
            <w:r>
              <w:t>W.Duijst</w:t>
            </w:r>
            <w:proofErr w:type="spellEnd"/>
            <w:r>
              <w:t xml:space="preserve"> en/of </w:t>
            </w:r>
            <w:proofErr w:type="spellStart"/>
            <w:r>
              <w:t>E.Thoonen</w:t>
            </w:r>
            <w:proofErr w:type="spellEnd"/>
          </w:p>
        </w:tc>
      </w:tr>
      <w:tr w:rsidR="0024557B" w:rsidRPr="00B66B66" w:rsidTr="000E70F4">
        <w:tc>
          <w:tcPr>
            <w:tcW w:w="1555" w:type="dxa"/>
          </w:tcPr>
          <w:p w:rsidR="0024557B" w:rsidRPr="00B66B66" w:rsidRDefault="0024557B" w:rsidP="000E70F4">
            <w:pPr>
              <w:spacing w:line="360" w:lineRule="auto"/>
            </w:pPr>
            <w:r w:rsidRPr="00B66B66">
              <w:t>19.00- 19.30</w:t>
            </w:r>
          </w:p>
        </w:tc>
        <w:tc>
          <w:tcPr>
            <w:tcW w:w="3969" w:type="dxa"/>
          </w:tcPr>
          <w:p w:rsidR="0024557B" w:rsidRPr="00B66B66" w:rsidRDefault="0024557B" w:rsidP="000E70F4">
            <w:pPr>
              <w:spacing w:line="360" w:lineRule="auto"/>
            </w:pPr>
            <w:r w:rsidRPr="00B66B66">
              <w:t xml:space="preserve">Casuïstiek </w:t>
            </w:r>
          </w:p>
        </w:tc>
        <w:tc>
          <w:tcPr>
            <w:tcW w:w="3492" w:type="dxa"/>
          </w:tcPr>
          <w:p w:rsidR="0024557B" w:rsidRPr="00B66B66" w:rsidRDefault="0024557B" w:rsidP="000E70F4">
            <w:pPr>
              <w:spacing w:line="360" w:lineRule="auto"/>
            </w:pPr>
            <w:proofErr w:type="spellStart"/>
            <w:r>
              <w:t>W.Duijst</w:t>
            </w:r>
            <w:proofErr w:type="spellEnd"/>
            <w:r>
              <w:t xml:space="preserve"> en/of </w:t>
            </w:r>
            <w:proofErr w:type="spellStart"/>
            <w:r>
              <w:t>E.Thoonen</w:t>
            </w:r>
            <w:proofErr w:type="spellEnd"/>
          </w:p>
        </w:tc>
      </w:tr>
      <w:tr w:rsidR="0024557B" w:rsidRPr="00B66B66" w:rsidTr="000E70F4">
        <w:tc>
          <w:tcPr>
            <w:tcW w:w="1555" w:type="dxa"/>
          </w:tcPr>
          <w:p w:rsidR="0024557B" w:rsidRPr="00B66B66" w:rsidRDefault="0024557B" w:rsidP="000E70F4">
            <w:pPr>
              <w:spacing w:line="360" w:lineRule="auto"/>
            </w:pPr>
            <w:r w:rsidRPr="00B66B66">
              <w:t>19.30-20.15</w:t>
            </w:r>
          </w:p>
        </w:tc>
        <w:tc>
          <w:tcPr>
            <w:tcW w:w="3969" w:type="dxa"/>
          </w:tcPr>
          <w:p w:rsidR="0024557B" w:rsidRPr="00B66B66" w:rsidRDefault="0024557B" w:rsidP="000E70F4">
            <w:pPr>
              <w:spacing w:line="360" w:lineRule="auto"/>
            </w:pPr>
            <w:r w:rsidRPr="00B66B66">
              <w:t>Presentatie casuïstiek</w:t>
            </w:r>
          </w:p>
        </w:tc>
        <w:tc>
          <w:tcPr>
            <w:tcW w:w="3492" w:type="dxa"/>
          </w:tcPr>
          <w:p w:rsidR="0024557B" w:rsidRPr="00B66B66" w:rsidRDefault="0024557B" w:rsidP="000E70F4">
            <w:pPr>
              <w:spacing w:line="360" w:lineRule="auto"/>
            </w:pPr>
            <w:proofErr w:type="spellStart"/>
            <w:r>
              <w:t>W.Duijst</w:t>
            </w:r>
            <w:proofErr w:type="spellEnd"/>
            <w:r>
              <w:t xml:space="preserve"> en/of </w:t>
            </w:r>
            <w:proofErr w:type="spellStart"/>
            <w:r>
              <w:t>E.Thoonen</w:t>
            </w:r>
            <w:proofErr w:type="spellEnd"/>
          </w:p>
        </w:tc>
      </w:tr>
      <w:tr w:rsidR="0024557B" w:rsidRPr="00B66B66" w:rsidTr="000E70F4">
        <w:tc>
          <w:tcPr>
            <w:tcW w:w="1555" w:type="dxa"/>
          </w:tcPr>
          <w:p w:rsidR="0024557B" w:rsidRPr="00B66B66" w:rsidRDefault="0024557B" w:rsidP="000E70F4">
            <w:pPr>
              <w:spacing w:line="360" w:lineRule="auto"/>
            </w:pPr>
            <w:r w:rsidRPr="00B66B66">
              <w:t>20.15-20.30</w:t>
            </w:r>
          </w:p>
        </w:tc>
        <w:tc>
          <w:tcPr>
            <w:tcW w:w="3969" w:type="dxa"/>
          </w:tcPr>
          <w:p w:rsidR="0024557B" w:rsidRPr="00B66B66" w:rsidRDefault="0024557B" w:rsidP="000E70F4">
            <w:pPr>
              <w:spacing w:line="360" w:lineRule="auto"/>
            </w:pPr>
            <w:r w:rsidRPr="00B66B66">
              <w:t>Afsluiting en evaluatie invullen</w:t>
            </w:r>
          </w:p>
        </w:tc>
        <w:tc>
          <w:tcPr>
            <w:tcW w:w="3492" w:type="dxa"/>
          </w:tcPr>
          <w:p w:rsidR="0024557B" w:rsidRPr="00B66B66" w:rsidRDefault="0024557B" w:rsidP="000E70F4">
            <w:pPr>
              <w:spacing w:line="360" w:lineRule="auto"/>
            </w:pPr>
            <w:r>
              <w:t>Medewerker MedTzorg-FMMU</w:t>
            </w:r>
          </w:p>
        </w:tc>
      </w:tr>
    </w:tbl>
    <w:p w:rsidR="00535CF5" w:rsidRDefault="00535CF5"/>
    <w:p w:rsidR="009D793A" w:rsidRPr="00B66B66" w:rsidRDefault="009D793A" w:rsidP="009D793A">
      <w:pPr>
        <w:rPr>
          <w:u w:val="single"/>
        </w:rPr>
      </w:pPr>
      <w:r w:rsidRPr="00B66B66">
        <w:rPr>
          <w:u w:val="single"/>
        </w:rPr>
        <w:t xml:space="preserve">Inleiding thema: </w:t>
      </w:r>
    </w:p>
    <w:p w:rsidR="009D793A" w:rsidRPr="00B66B66" w:rsidRDefault="009D793A" w:rsidP="009D793A">
      <w:pPr>
        <w:rPr>
          <w:u w:val="single"/>
        </w:rPr>
      </w:pPr>
      <w:r w:rsidRPr="00B66B66">
        <w:t xml:space="preserve">Alle zorgverleners maar zeker die werkzaam binnen justitiële instellingen, arrestantenzorg, zorg voor mensen opgenomen in een wet langdurige zorg (WLZ) instelling (al of niet met een wet bijzondere opnemingen psychiatrische ziekenhuizen (BOPZ) maatregel), hebben veelvuldig  te maken met wettelijke bepalingen. Hoe ver gaat het beroepsgeheim, welke informatie mag (of moet) de arts wel (of juist niet) delen met derden (familie, wettelijke vertegenwoordigers, politie/justitie, overheid), wanneer is iemand wilsonbekwaam en wat zijn de consequenties daarvan. </w:t>
      </w:r>
      <w:r w:rsidRPr="00B66B66">
        <w:br/>
        <w:t xml:space="preserve">Zorgverleners hoeven geen jurist te worden maar het is voor alle betrokkenen belangrijk dat artsen en verpleegkundigen voldoende kennis hebben van de relevante wet- en regelgeving en hoe die op een adequate wijze toe te passen. </w:t>
      </w:r>
      <w:r w:rsidRPr="00B66B66">
        <w:br/>
        <w:t>Deelnemers hebben de mogelijkheid om zelf casuïstiek in te brengen.</w:t>
      </w:r>
    </w:p>
    <w:p w:rsidR="009D793A" w:rsidRPr="00B66B66" w:rsidRDefault="009D793A" w:rsidP="009D793A">
      <w:r w:rsidRPr="00B66B66">
        <w:rPr>
          <w:b/>
        </w:rPr>
        <w:br/>
      </w:r>
      <w:r w:rsidRPr="00B66B66">
        <w:rPr>
          <w:u w:val="single"/>
        </w:rPr>
        <w:t xml:space="preserve">Doelgroep: </w:t>
      </w:r>
    </w:p>
    <w:p w:rsidR="009D793A" w:rsidRPr="00B66B66" w:rsidRDefault="009D793A" w:rsidP="009D793A">
      <w:pPr>
        <w:rPr>
          <w:rFonts w:cstheme="minorHAnsi"/>
        </w:rPr>
      </w:pPr>
      <w:r w:rsidRPr="00B66B66">
        <w:rPr>
          <w:rFonts w:cstheme="minorHAnsi"/>
        </w:rPr>
        <w:t>(Huis)artsen en verpleegkundigen die werkzaam zijn voor MedTzorg-FMMU. Zij leveren eerstelijnszorg  aan mensen die verblijven in instellingen die vallen onder de Wet Langdurige Zorg, zoals verpleeghuizen, instellingen voor verstandelijk gehandicapten en verslavingsklinieken, en aan mensen die verblijven in gesloten instellingen zoals gevangenissen, detentiecentra en TBS Klinieken en mensen die vallen onder de zorg van de politie (arrestantenzorg).</w:t>
      </w:r>
    </w:p>
    <w:p w:rsidR="009D793A" w:rsidRPr="00B66B66" w:rsidRDefault="009D793A" w:rsidP="009D793A">
      <w:pPr>
        <w:rPr>
          <w:u w:val="single"/>
        </w:rPr>
      </w:pPr>
      <w:r w:rsidRPr="00B66B66">
        <w:rPr>
          <w:u w:val="single"/>
        </w:rPr>
        <w:t xml:space="preserve">Leerdoelen: </w:t>
      </w:r>
    </w:p>
    <w:p w:rsidR="009D793A" w:rsidRPr="00B66B66" w:rsidRDefault="009D793A" w:rsidP="009D793A">
      <w:pPr>
        <w:rPr>
          <w:u w:val="single"/>
        </w:rPr>
      </w:pPr>
      <w:r w:rsidRPr="00B66B66">
        <w:t xml:space="preserve">Na afloop van deze scholing:  </w:t>
      </w:r>
    </w:p>
    <w:p w:rsidR="009D793A" w:rsidRPr="00B66B66" w:rsidRDefault="009D793A" w:rsidP="009D793A">
      <w:pPr>
        <w:pStyle w:val="Geenafstand"/>
        <w:numPr>
          <w:ilvl w:val="1"/>
          <w:numId w:val="1"/>
        </w:numPr>
      </w:pPr>
      <w:r w:rsidRPr="00B66B66">
        <w:t>kennen de deelnemers de belangrijkste aspecten van relevante wet en regelgeving rondom medisch beroepsgeheim en gronden waarmee deze te doorbreken en wilsonbekwaamheid;</w:t>
      </w:r>
    </w:p>
    <w:p w:rsidR="009D793A" w:rsidRPr="00B66B66" w:rsidRDefault="009D793A" w:rsidP="009D793A">
      <w:pPr>
        <w:pStyle w:val="Geenafstand"/>
        <w:numPr>
          <w:ilvl w:val="1"/>
          <w:numId w:val="1"/>
        </w:numPr>
      </w:pPr>
      <w:r w:rsidRPr="00B66B66">
        <w:lastRenderedPageBreak/>
        <w:t>kunnen de deelnemers hiermee bij de uitoefening van hun beroep als huisarts in bijzondere situaties een goede afweging maken die ook recht doet aan de juridische aspecten;</w:t>
      </w:r>
    </w:p>
    <w:p w:rsidR="009D793A" w:rsidRPr="00B66B66" w:rsidRDefault="009D793A" w:rsidP="009D793A">
      <w:pPr>
        <w:pStyle w:val="Geenafstand"/>
        <w:numPr>
          <w:ilvl w:val="1"/>
          <w:numId w:val="1"/>
        </w:numPr>
      </w:pPr>
      <w:r w:rsidRPr="00B66B66">
        <w:t>weten de deelnemers hoe en waar ze, indien nodig, juridisch advies kunnen vragen.</w:t>
      </w:r>
    </w:p>
    <w:p w:rsidR="009D793A" w:rsidRPr="00B66B66" w:rsidRDefault="009D793A" w:rsidP="009D793A">
      <w:pPr>
        <w:pStyle w:val="Geenafstand"/>
      </w:pPr>
    </w:p>
    <w:p w:rsidR="009D793A" w:rsidRPr="00B66B66" w:rsidRDefault="009D793A" w:rsidP="009D793A">
      <w:pPr>
        <w:pStyle w:val="Geenafstand"/>
        <w:ind w:left="720"/>
      </w:pPr>
    </w:p>
    <w:p w:rsidR="009D793A" w:rsidRPr="00B66B66" w:rsidRDefault="009D793A" w:rsidP="009D793A">
      <w:pPr>
        <w:pStyle w:val="Geenafstand"/>
        <w:rPr>
          <w:u w:val="single"/>
        </w:rPr>
      </w:pPr>
      <w:r w:rsidRPr="00B66B66">
        <w:rPr>
          <w:u w:val="single"/>
        </w:rPr>
        <w:t>Onderwerpen die aan bod komen:</w:t>
      </w:r>
      <w:r w:rsidRPr="00B66B66">
        <w:rPr>
          <w:u w:val="single"/>
        </w:rPr>
        <w:br/>
      </w:r>
    </w:p>
    <w:p w:rsidR="009D793A" w:rsidRPr="00B66B66" w:rsidRDefault="009D793A" w:rsidP="009D793A">
      <w:pPr>
        <w:pStyle w:val="Geenafstand"/>
        <w:numPr>
          <w:ilvl w:val="1"/>
          <w:numId w:val="1"/>
        </w:numPr>
      </w:pPr>
      <w:r>
        <w:t>medisch</w:t>
      </w:r>
      <w:r w:rsidRPr="00B66B66">
        <w:t xml:space="preserve"> beroepsgeheim (in contact met penitentiair inrichtingswerker (</w:t>
      </w:r>
      <w:proofErr w:type="spellStart"/>
      <w:r w:rsidRPr="00B66B66">
        <w:t>piw</w:t>
      </w:r>
      <w:proofErr w:type="spellEnd"/>
      <w:r w:rsidRPr="00B66B66">
        <w:t>-er), politie, andere derden) en de gronden deze te doorbreken</w:t>
      </w:r>
    </w:p>
    <w:p w:rsidR="009D793A" w:rsidRPr="00B66B66" w:rsidRDefault="009D793A" w:rsidP="009D793A">
      <w:pPr>
        <w:pStyle w:val="Geenafstand"/>
        <w:numPr>
          <w:ilvl w:val="1"/>
          <w:numId w:val="1"/>
        </w:numPr>
      </w:pPr>
      <w:r w:rsidRPr="00B66B66">
        <w:t xml:space="preserve">verstrekken (medische) informatie aan derden </w:t>
      </w:r>
    </w:p>
    <w:p w:rsidR="009D793A" w:rsidRPr="00B66B66" w:rsidRDefault="009D793A" w:rsidP="009D793A">
      <w:pPr>
        <w:pStyle w:val="Geenafstand"/>
        <w:numPr>
          <w:ilvl w:val="1"/>
          <w:numId w:val="1"/>
        </w:numPr>
      </w:pPr>
      <w:r w:rsidRPr="00B66B66">
        <w:t>wilsonbekwaamheid</w:t>
      </w:r>
    </w:p>
    <w:p w:rsidR="00CF7612" w:rsidRPr="00B66B66" w:rsidRDefault="00CF7612" w:rsidP="00CF7612">
      <w:pPr>
        <w:rPr>
          <w:u w:val="single"/>
        </w:rPr>
      </w:pPr>
      <w:r w:rsidRPr="00B66B66">
        <w:rPr>
          <w:u w:val="single"/>
        </w:rPr>
        <w:t>Docenten</w:t>
      </w:r>
    </w:p>
    <w:p w:rsidR="00CF7612" w:rsidRPr="00B66B66" w:rsidRDefault="00CF7612" w:rsidP="00CF7612">
      <w:pPr>
        <w:pStyle w:val="Lijstalinea"/>
        <w:numPr>
          <w:ilvl w:val="0"/>
          <w:numId w:val="2"/>
        </w:numPr>
      </w:pPr>
      <w:r w:rsidRPr="00B66B66">
        <w:t>Wilma Duijst</w:t>
      </w:r>
      <w:r w:rsidR="00D96170">
        <w:t xml:space="preserve"> (</w:t>
      </w:r>
      <w:r w:rsidR="00D96170">
        <w:t>hoogleraar forensische geneeskunde en gezondheidsrecht, rechter en forensisch geneeskundige</w:t>
      </w:r>
      <w:r w:rsidR="00D96170">
        <w:t>)</w:t>
      </w:r>
    </w:p>
    <w:p w:rsidR="00CF7612" w:rsidRPr="00B66B66" w:rsidRDefault="00CF7612" w:rsidP="00CF7612">
      <w:pPr>
        <w:pStyle w:val="Lijstalinea"/>
        <w:numPr>
          <w:ilvl w:val="0"/>
          <w:numId w:val="2"/>
        </w:numPr>
      </w:pPr>
      <w:r w:rsidRPr="00B66B66">
        <w:t xml:space="preserve">Eveline </w:t>
      </w:r>
      <w:proofErr w:type="spellStart"/>
      <w:r w:rsidRPr="00B66B66">
        <w:t>Thoonen</w:t>
      </w:r>
      <w:proofErr w:type="spellEnd"/>
      <w:r w:rsidR="00D96170">
        <w:t xml:space="preserve"> (</w:t>
      </w:r>
      <w:r w:rsidR="00D96170">
        <w:t>juriste, buitengriffier bij de rechtbank in Arnhem en in 2017 gepromoveerd op het onderwerp ‘overlijden in detentie’</w:t>
      </w:r>
      <w:r w:rsidR="00D96170">
        <w:t>)</w:t>
      </w:r>
      <w:bookmarkStart w:id="0" w:name="_GoBack"/>
      <w:bookmarkEnd w:id="0"/>
    </w:p>
    <w:p w:rsidR="0024557B" w:rsidRDefault="0024557B"/>
    <w:sectPr w:rsidR="002455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7B" w:rsidRDefault="0024557B" w:rsidP="0024557B">
      <w:pPr>
        <w:spacing w:after="0" w:line="240" w:lineRule="auto"/>
      </w:pPr>
      <w:r>
        <w:separator/>
      </w:r>
    </w:p>
  </w:endnote>
  <w:endnote w:type="continuationSeparator" w:id="0">
    <w:p w:rsidR="0024557B" w:rsidRDefault="0024557B" w:rsidP="0024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7B" w:rsidRDefault="0024557B" w:rsidP="0024557B">
      <w:pPr>
        <w:spacing w:after="0" w:line="240" w:lineRule="auto"/>
      </w:pPr>
      <w:r>
        <w:separator/>
      </w:r>
    </w:p>
  </w:footnote>
  <w:footnote w:type="continuationSeparator" w:id="0">
    <w:p w:rsidR="0024557B" w:rsidRDefault="0024557B" w:rsidP="0024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B" w:rsidRDefault="0024557B">
    <w:pPr>
      <w:pStyle w:val="Koptekst"/>
    </w:pPr>
    <w:r>
      <w:rPr>
        <w:rFonts w:cstheme="minorHAnsi"/>
        <w:noProof/>
      </w:rPr>
      <w:drawing>
        <wp:inline distT="0" distB="0" distL="0" distR="0" wp14:anchorId="25497EF7" wp14:editId="0F9899C2">
          <wp:extent cx="1569720" cy="731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TZORG logo transparant -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731520"/>
                  </a:xfrm>
                  <a:prstGeom prst="rect">
                    <a:avLst/>
                  </a:prstGeom>
                </pic:spPr>
              </pic:pic>
            </a:graphicData>
          </a:graphic>
        </wp:inline>
      </w:drawing>
    </w:r>
    <w:r>
      <w:rPr>
        <w:rFonts w:ascii="Trebuchet MS" w:eastAsiaTheme="majorEastAsia" w:hAnsi="Trebuchet MS" w:cstheme="majorBidi"/>
        <w:b/>
        <w:bCs/>
        <w:noProof/>
        <w:color w:val="694A8D"/>
      </w:rPr>
      <w:t xml:space="preserve">                                                         </w:t>
    </w:r>
    <w:r>
      <w:rPr>
        <w:rFonts w:ascii="Trebuchet MS" w:eastAsiaTheme="majorEastAsia" w:hAnsi="Trebuchet MS" w:cstheme="majorBidi"/>
        <w:b/>
        <w:bCs/>
        <w:noProof/>
        <w:color w:val="694A8D"/>
      </w:rPr>
      <w:drawing>
        <wp:inline distT="0" distB="0" distL="0" distR="0" wp14:anchorId="44AAA858" wp14:editId="62091C4C">
          <wp:extent cx="1781175" cy="6858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MU_Logo_DEF_CMYK_2 - klein.jpg"/>
                  <pic:cNvPicPr/>
                </pic:nvPicPr>
                <pic:blipFill>
                  <a:blip r:embed="rId2">
                    <a:extLst>
                      <a:ext uri="{28A0092B-C50C-407E-A947-70E740481C1C}">
                        <a14:useLocalDpi xmlns:a14="http://schemas.microsoft.com/office/drawing/2010/main" val="0"/>
                      </a:ext>
                    </a:extLst>
                  </a:blip>
                  <a:stretch>
                    <a:fillRect/>
                  </a:stretch>
                </pic:blipFill>
                <pic:spPr>
                  <a:xfrm>
                    <a:off x="0" y="0"/>
                    <a:ext cx="1781175" cy="685800"/>
                  </a:xfrm>
                  <a:prstGeom prst="rect">
                    <a:avLst/>
                  </a:prstGeom>
                </pic:spPr>
              </pic:pic>
            </a:graphicData>
          </a:graphic>
        </wp:inline>
      </w:drawing>
    </w:r>
  </w:p>
  <w:p w:rsidR="0024557B" w:rsidRDefault="002455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7209"/>
    <w:multiLevelType w:val="hybridMultilevel"/>
    <w:tmpl w:val="254674B6"/>
    <w:lvl w:ilvl="0" w:tplc="532C2656">
      <w:start w:val="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7613123D"/>
    <w:multiLevelType w:val="hybridMultilevel"/>
    <w:tmpl w:val="C4A80378"/>
    <w:lvl w:ilvl="0" w:tplc="DA8A6434">
      <w:start w:val="1"/>
      <w:numFmt w:val="bullet"/>
      <w:lvlText w:val=""/>
      <w:lvlJc w:val="left"/>
      <w:pPr>
        <w:ind w:left="720" w:hanging="360"/>
      </w:pPr>
      <w:rPr>
        <w:rFonts w:ascii="Symbol" w:hAnsi="Symbol" w:hint="default"/>
      </w:rPr>
    </w:lvl>
    <w:lvl w:ilvl="1" w:tplc="DA8A6434">
      <w:start w:val="1"/>
      <w:numFmt w:val="bullet"/>
      <w:lvlText w:val=""/>
      <w:lvlJc w:val="left"/>
      <w:pPr>
        <w:ind w:left="1440" w:hanging="360"/>
      </w:pPr>
      <w:rPr>
        <w:rFonts w:ascii="Symbol" w:hAnsi="Symbol" w:hint="default"/>
      </w:rPr>
    </w:lvl>
    <w:lvl w:ilvl="2" w:tplc="6BCE2954">
      <w:start w:val="1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24557B"/>
    <w:rsid w:val="00535CF5"/>
    <w:rsid w:val="009D793A"/>
    <w:rsid w:val="00CF7612"/>
    <w:rsid w:val="00D96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102"/>
  <w15:chartTrackingRefBased/>
  <w15:docId w15:val="{1DD89D9F-C151-46D9-88C0-7A188235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5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45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57B"/>
  </w:style>
  <w:style w:type="paragraph" w:styleId="Voettekst">
    <w:name w:val="footer"/>
    <w:basedOn w:val="Standaard"/>
    <w:link w:val="VoettekstChar"/>
    <w:uiPriority w:val="99"/>
    <w:unhideWhenUsed/>
    <w:rsid w:val="00245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57B"/>
  </w:style>
  <w:style w:type="paragraph" w:styleId="Geenafstand">
    <w:name w:val="No Spacing"/>
    <w:uiPriority w:val="1"/>
    <w:qFormat/>
    <w:rsid w:val="009D793A"/>
    <w:pPr>
      <w:spacing w:after="0" w:line="240" w:lineRule="auto"/>
    </w:pPr>
  </w:style>
  <w:style w:type="paragraph" w:styleId="Lijstalinea">
    <w:name w:val="List Paragraph"/>
    <w:basedOn w:val="Standaard"/>
    <w:uiPriority w:val="34"/>
    <w:qFormat/>
    <w:rsid w:val="00CF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Minnaard</dc:creator>
  <cp:keywords/>
  <dc:description/>
  <cp:lastModifiedBy>Marloes Minnaard</cp:lastModifiedBy>
  <cp:revision>4</cp:revision>
  <dcterms:created xsi:type="dcterms:W3CDTF">2019-01-17T09:14:00Z</dcterms:created>
  <dcterms:modified xsi:type="dcterms:W3CDTF">2019-01-17T09:44:00Z</dcterms:modified>
</cp:coreProperties>
</file>